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DECLARAÇÃO DO AGRICULTOR FAMILIAR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–PRODUÇÃO PRÓPRIA GRUPOS FORMAIS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PRODUÇÃO PRÓPRIA (CHAMADA PÚBLICA Nº 01/2023)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Eu,__________________________________representante da Cooperativa/Associação ____________________________________________________________, com CNPJ nº__________________________________________ e DAP Jurídica nº ___________________________________declaro, para fins de participação no Programa Nacional de Alimentação Escolar – PNAE, que os gêneros alimentícios relacionados no projeto de venda são oriundos de produção dos cooperados/associados que possuem DAP física e compõem esta cooperativa/associação.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Juína-MT, ____/____/_____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2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trike w:val="0"/>
          <w:color w:val="000000"/>
          <w:sz w:val="22"/>
          <w:szCs w:val="22"/>
          <w:u w:val="none"/>
          <w:rtl w:val="0"/>
        </w:rPr>
        <w:t xml:space="preserve">Assinatura </w:t>
      </w:r>
    </w:p>
    <w:sectPr>
      <w:headerReference r:id="rId6" w:type="default"/>
      <w:pgSz w:h="16838" w:w="11906" w:orient="portrait"/>
      <w:pgMar w:bottom="1134" w:top="3538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0" distT="0" distL="0" distR="0">
          <wp:extent cx="556895" cy="543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6895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SERVIÇO PÚBLICO FEDERAL</w:t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INSTITUTO FEDERAL DE EDUCAÇÃO, CIÊNCIA E TECNOLOGIA DE MATO GROSSO - CAMPUS JUÍNA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